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0D7C4E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15.05</w:t>
      </w:r>
      <w:r w:rsidR="00372A49">
        <w:rPr>
          <w:rFonts w:ascii="PT Astra Serif" w:hAnsi="PT Astra Serif"/>
          <w:b/>
          <w:sz w:val="28"/>
          <w:szCs w:val="28"/>
        </w:rPr>
        <w:t>.2024</w:t>
      </w:r>
      <w:proofErr w:type="gramEnd"/>
      <w:r w:rsidR="00372A49">
        <w:rPr>
          <w:rFonts w:ascii="PT Astra Serif" w:hAnsi="PT Astra Serif"/>
          <w:b/>
          <w:sz w:val="28"/>
          <w:szCs w:val="28"/>
        </w:rPr>
        <w:t xml:space="preserve">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b/>
          <w:sz w:val="28"/>
          <w:szCs w:val="28"/>
        </w:rPr>
        <w:t>№  6</w:t>
      </w:r>
      <w:proofErr w:type="gramEnd"/>
      <w:r>
        <w:rPr>
          <w:rFonts w:ascii="PT Astra Serif" w:hAnsi="PT Astra Serif"/>
          <w:b/>
          <w:sz w:val="28"/>
          <w:szCs w:val="28"/>
        </w:rPr>
        <w:t>/3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утверждении отчета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исполнении бюджета Тростянского муниципального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образования Балашовского муниципального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района Саратовской области </w:t>
      </w:r>
      <w:proofErr w:type="gramStart"/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за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202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3</w:t>
      </w:r>
      <w:proofErr w:type="gramEnd"/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Pr="0019588F" w:rsidRDefault="000D7C4E" w:rsidP="000D7C4E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:rsidR="000D7C4E" w:rsidRPr="000D7C4E" w:rsidRDefault="000D7C4E" w:rsidP="000D7C4E">
      <w:pPr>
        <w:pStyle w:val="Char"/>
        <w:spacing w:afterAutospacing="1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0D7C4E">
        <w:rPr>
          <w:rFonts w:ascii="PT Astra Serif" w:hAnsi="PT Astra Serif" w:cs="PT Astra Serif"/>
          <w:b/>
          <w:sz w:val="28"/>
          <w:szCs w:val="28"/>
          <w:lang w:val="ru-RU"/>
        </w:rPr>
        <w:t>РЕШИЛ: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</w:t>
      </w:r>
      <w:proofErr w:type="gramStart"/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за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202</w:t>
      </w:r>
      <w:r>
        <w:rPr>
          <w:rFonts w:ascii="PT Astra Serif" w:hAnsi="PT Astra Serif" w:cs="PT Astra Serif"/>
          <w:sz w:val="28"/>
          <w:szCs w:val="28"/>
          <w:lang w:val="ru-RU"/>
        </w:rPr>
        <w:t>3</w:t>
      </w:r>
      <w:proofErr w:type="gramEnd"/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год. (Отчет прилагается).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2. Обнародовать (опубликовать) настоящее решение.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3. Настоящее решение вступает в силу с момента его обнародования.</w:t>
      </w:r>
    </w:p>
    <w:p w:rsidR="000D7C4E" w:rsidRPr="0019588F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И.о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. 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Глав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ы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Тростянского </w:t>
      </w:r>
    </w:p>
    <w:p w:rsidR="000D7C4E" w:rsidRDefault="000D7C4E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муниципального образования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                 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М.Г.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Мартынцова</w:t>
      </w:r>
      <w:proofErr w:type="spellEnd"/>
    </w:p>
    <w:p w:rsidR="000D7C4E" w:rsidRPr="0019588F" w:rsidRDefault="000D7C4E" w:rsidP="000D7C4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Pr="0019588F" w:rsidRDefault="000D7C4E" w:rsidP="000D7C4E">
      <w:pPr>
        <w:pStyle w:val="Char"/>
        <w:spacing w:afterAutospacing="1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00697" w:rsidRDefault="00100697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00697" w:rsidRDefault="00100697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lastRenderedPageBreak/>
        <w:t xml:space="preserve">Утверждено решением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Совета Тростянского МО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МР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:rsidR="000D7C4E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15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.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05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.202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г. № 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6/3</w:t>
      </w:r>
    </w:p>
    <w:p w:rsidR="000D7C4E" w:rsidRPr="0019588F" w:rsidRDefault="000D7C4E" w:rsidP="00293E2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ОТЧЕТ   ОБ   ИСПОЛНЕНИИ бюджета Т</w:t>
      </w:r>
      <w:r>
        <w:rPr>
          <w:rFonts w:ascii="PT Astra Serif" w:hAnsi="PT Astra Serif" w:cs="PT Astra Serif"/>
          <w:sz w:val="28"/>
          <w:szCs w:val="28"/>
          <w:lang w:val="ru-RU"/>
        </w:rPr>
        <w:t>р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>3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. </w:t>
      </w:r>
    </w:p>
    <w:p w:rsidR="000D7C4E" w:rsidRDefault="000D7C4E" w:rsidP="000D7C4E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Доходы бюджета Тростянского МО за 202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>3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а.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План по доходам бюджета 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>Тростянского МО на 2023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 утвержден в сумме 13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> 934,6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руб., с учетом изменений 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 xml:space="preserve">план по доходам </w:t>
      </w:r>
      <w:proofErr w:type="gramStart"/>
      <w:r w:rsidR="00100697">
        <w:rPr>
          <w:rFonts w:ascii="PT Astra Serif" w:hAnsi="PT Astra Serif" w:cs="PT Astra Serif"/>
          <w:sz w:val="28"/>
          <w:szCs w:val="28"/>
          <w:lang w:val="ru-RU"/>
        </w:rPr>
        <w:t>утвержден  в</w:t>
      </w:r>
      <w:proofErr w:type="gramEnd"/>
      <w:r w:rsidR="00100697">
        <w:rPr>
          <w:rFonts w:ascii="PT Astra Serif" w:hAnsi="PT Astra Serif" w:cs="PT Astra Serif"/>
          <w:sz w:val="28"/>
          <w:szCs w:val="28"/>
          <w:lang w:val="ru-RU"/>
        </w:rPr>
        <w:t xml:space="preserve"> сумме </w:t>
      </w:r>
      <w:r>
        <w:rPr>
          <w:rFonts w:ascii="PT Astra Serif" w:hAnsi="PT Astra Serif" w:cs="PT Astra Serif"/>
          <w:sz w:val="28"/>
          <w:szCs w:val="28"/>
          <w:lang w:val="ru-RU"/>
        </w:rPr>
        <w:t>1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 xml:space="preserve">6 770,2 </w:t>
      </w:r>
      <w:r>
        <w:rPr>
          <w:rFonts w:ascii="PT Astra Serif" w:hAnsi="PT Astra Serif" w:cs="PT Astra Serif"/>
          <w:sz w:val="28"/>
          <w:szCs w:val="28"/>
          <w:lang w:val="ru-RU"/>
        </w:rPr>
        <w:t>тыс.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руб.</w:t>
      </w:r>
      <w:r w:rsidR="00293E2E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100697">
        <w:rPr>
          <w:rFonts w:ascii="PT Astra Serif" w:hAnsi="PT Astra Serif" w:cs="PT Astra Serif"/>
          <w:sz w:val="28"/>
          <w:szCs w:val="28"/>
          <w:lang w:val="ru-RU"/>
        </w:rPr>
        <w:t xml:space="preserve">План по доходам бюджета </w:t>
      </w:r>
      <w:r w:rsidR="00260F7E">
        <w:rPr>
          <w:rFonts w:ascii="PT Astra Serif" w:hAnsi="PT Astra Serif" w:cs="PT Astra Serif"/>
          <w:sz w:val="28"/>
          <w:szCs w:val="28"/>
          <w:lang w:val="ru-RU"/>
        </w:rPr>
        <w:t xml:space="preserve">утвержден в сумме 16 770,2 </w:t>
      </w:r>
      <w:proofErr w:type="spellStart"/>
      <w:r w:rsidR="00260F7E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60F7E">
        <w:rPr>
          <w:rFonts w:ascii="PT Astra Serif" w:hAnsi="PT Astra Serif" w:cs="PT Astra Serif"/>
          <w:sz w:val="28"/>
          <w:szCs w:val="28"/>
          <w:lang w:val="ru-RU"/>
        </w:rPr>
        <w:t xml:space="preserve">., бюджет за 2023 год исполнен по доходам в сумме 16 155,3 тыс. руб. или на 96,3% к уточнённому бюджету. </w:t>
      </w:r>
      <w:proofErr w:type="gramStart"/>
      <w:r w:rsidR="00260F7E">
        <w:rPr>
          <w:rFonts w:ascii="PT Astra Serif" w:hAnsi="PT Astra Serif" w:cs="PT Astra Serif"/>
          <w:sz w:val="28"/>
          <w:szCs w:val="28"/>
          <w:lang w:val="ru-RU"/>
        </w:rPr>
        <w:t xml:space="preserve">По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260F7E">
        <w:rPr>
          <w:rFonts w:ascii="PT Astra Serif" w:hAnsi="PT Astra Serif" w:cs="PT Astra Serif"/>
          <w:sz w:val="28"/>
          <w:szCs w:val="28"/>
          <w:lang w:val="ru-RU"/>
        </w:rPr>
        <w:t>сравнению</w:t>
      </w:r>
      <w:proofErr w:type="gramEnd"/>
      <w:r w:rsidR="00260F7E">
        <w:rPr>
          <w:rFonts w:ascii="PT Astra Serif" w:hAnsi="PT Astra Serif" w:cs="PT Astra Serif"/>
          <w:sz w:val="28"/>
          <w:szCs w:val="28"/>
          <w:lang w:val="ru-RU"/>
        </w:rPr>
        <w:t xml:space="preserve"> с исполненным бюджетом за 2022 год в сумме 13 263,6 тыс. руб., увеличение составило на 2 891,7 </w:t>
      </w:r>
      <w:proofErr w:type="spellStart"/>
      <w:r w:rsidR="00260F7E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60F7E">
        <w:rPr>
          <w:rFonts w:ascii="PT Astra Serif" w:hAnsi="PT Astra Serif" w:cs="PT Astra Serif"/>
          <w:sz w:val="28"/>
          <w:szCs w:val="28"/>
          <w:lang w:val="ru-RU"/>
        </w:rPr>
        <w:t>. или на 21,8%.</w:t>
      </w:r>
    </w:p>
    <w:p w:rsidR="000D7C4E" w:rsidRDefault="00100697" w:rsidP="000D7C4E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 w:rsidRPr="00100697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0D7C4E">
        <w:rPr>
          <w:rFonts w:ascii="PT Astra Serif" w:hAnsi="PT Astra Serif" w:cs="PT Astra Serif"/>
          <w:sz w:val="28"/>
          <w:szCs w:val="28"/>
        </w:rPr>
        <w:t>(</w:t>
      </w:r>
      <w:proofErr w:type="spellStart"/>
      <w:r w:rsidR="000D7C4E">
        <w:rPr>
          <w:rFonts w:ascii="PT Astra Serif" w:hAnsi="PT Astra Serif" w:cs="PT Astra Serif"/>
          <w:sz w:val="28"/>
          <w:szCs w:val="28"/>
        </w:rPr>
        <w:t>тыс</w:t>
      </w:r>
      <w:proofErr w:type="spellEnd"/>
      <w:r w:rsidR="000D7C4E">
        <w:rPr>
          <w:rFonts w:ascii="PT Astra Serif" w:hAnsi="PT Astra Serif" w:cs="PT Astra Serif"/>
          <w:sz w:val="28"/>
          <w:szCs w:val="28"/>
        </w:rPr>
        <w:t xml:space="preserve">. </w:t>
      </w:r>
      <w:proofErr w:type="spellStart"/>
      <w:r w:rsidR="000D7C4E">
        <w:rPr>
          <w:rFonts w:ascii="PT Astra Serif" w:hAnsi="PT Astra Serif" w:cs="PT Astra Serif"/>
          <w:sz w:val="28"/>
          <w:szCs w:val="28"/>
        </w:rPr>
        <w:t>рублей</w:t>
      </w:r>
      <w:proofErr w:type="spellEnd"/>
      <w:r w:rsidR="000D7C4E">
        <w:rPr>
          <w:rFonts w:ascii="PT Astra Serif" w:hAnsi="PT Astra Serif" w:cs="PT Astra Serif"/>
          <w:sz w:val="28"/>
          <w:szCs w:val="28"/>
        </w:rPr>
        <w:t>)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634"/>
        <w:gridCol w:w="2724"/>
        <w:gridCol w:w="2280"/>
      </w:tblGrid>
      <w:tr w:rsidR="000D7C4E" w:rsidTr="004728BF">
        <w:trPr>
          <w:jc w:val="center"/>
        </w:trPr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бюджет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Фактическое исполнение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к уточненному бюджету</w:t>
            </w:r>
          </w:p>
        </w:tc>
      </w:tr>
      <w:tr w:rsidR="000D7C4E" w:rsidTr="004728BF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6 354,7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5 739,8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90,3</w:t>
            </w:r>
          </w:p>
        </w:tc>
      </w:tr>
      <w:tr w:rsidR="000D7C4E" w:rsidTr="004728BF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10 415,5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10 415,5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</w:tr>
      <w:tr w:rsidR="000D7C4E" w:rsidTr="004728BF">
        <w:trPr>
          <w:jc w:val="center"/>
        </w:trPr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16 770,2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16 155,3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7C4E" w:rsidRDefault="00260F7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96,3</w:t>
            </w:r>
          </w:p>
        </w:tc>
      </w:tr>
    </w:tbl>
    <w:p w:rsidR="000D7C4E" w:rsidRPr="0019588F" w:rsidRDefault="000D7C4E" w:rsidP="00293E2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293E2E"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Тростянского МО за   202</w:t>
      </w:r>
      <w:r w:rsidR="00260F7E" w:rsidRPr="00293E2E">
        <w:rPr>
          <w:rFonts w:ascii="PT Astra Serif" w:hAnsi="PT Astra Serif" w:cs="PT Astra Serif"/>
          <w:b/>
          <w:sz w:val="28"/>
          <w:szCs w:val="28"/>
          <w:lang w:val="ru-RU"/>
        </w:rPr>
        <w:t>3</w:t>
      </w:r>
      <w:r w:rsidRPr="00293E2E">
        <w:rPr>
          <w:rFonts w:ascii="PT Astra Serif" w:hAnsi="PT Astra Serif" w:cs="PT Astra Serif"/>
          <w:b/>
          <w:sz w:val="28"/>
          <w:szCs w:val="28"/>
          <w:lang w:val="ru-RU"/>
        </w:rPr>
        <w:t xml:space="preserve"> г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. 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Исполнение бюджета по расходам за 2023 год составило 16 003,7 </w:t>
      </w:r>
      <w:proofErr w:type="spellStart"/>
      <w:r w:rsidR="000A2868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0A2868">
        <w:rPr>
          <w:rFonts w:ascii="PT Astra Serif" w:hAnsi="PT Astra Serif" w:cs="PT Astra Serif"/>
          <w:sz w:val="28"/>
          <w:szCs w:val="28"/>
          <w:lang w:val="ru-RU"/>
        </w:rPr>
        <w:t>. или на 114,8 % к первоначальному плану. Уточенный бюджет исполнен на 91,9%.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1416"/>
        <w:gridCol w:w="1416"/>
        <w:gridCol w:w="1308"/>
        <w:gridCol w:w="1536"/>
        <w:gridCol w:w="1620"/>
        <w:gridCol w:w="1620"/>
      </w:tblGrid>
      <w:tr w:rsidR="000D7C4E" w:rsidRPr="000A2868" w:rsidTr="004728BF">
        <w:trPr>
          <w:jc w:val="center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Утверждено на 2023</w:t>
            </w:r>
            <w:r w:rsidR="000D7C4E"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%исполнения к уточненному плану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от общих кассовых расходов(кассовое исполнение)</w:t>
            </w:r>
          </w:p>
        </w:tc>
      </w:tr>
      <w:tr w:rsidR="000D7C4E" w:rsidRPr="000A2868" w:rsidTr="000A2868">
        <w:trPr>
          <w:trHeight w:val="821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01Общегосударственные вопросы</w:t>
            </w:r>
          </w:p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3 289,6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3 255,2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2 860,1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86,9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87,9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17,9</w:t>
            </w:r>
          </w:p>
        </w:tc>
      </w:tr>
      <w:tr w:rsidR="000D7C4E" w:rsidRPr="000A2868" w:rsidTr="004728BF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0200 Национальная оборона</w:t>
            </w:r>
          </w:p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289,5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288,1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288,1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1,8</w:t>
            </w:r>
          </w:p>
        </w:tc>
      </w:tr>
      <w:tr w:rsidR="000D7C4E" w:rsidRPr="000A2868" w:rsidTr="004728BF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9 248,8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9 844,7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9 224,1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57,6</w:t>
            </w:r>
          </w:p>
        </w:tc>
      </w:tr>
      <w:tr w:rsidR="000D7C4E" w:rsidRPr="000A2868" w:rsidTr="004728BF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0500 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905,7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1 290,6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954,1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105,3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73,9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6,0</w:t>
            </w:r>
          </w:p>
        </w:tc>
      </w:tr>
      <w:tr w:rsidR="000D7C4E" w:rsidRPr="000A2868" w:rsidTr="004728BF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0800 Культура и кинематография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D7C4E" w:rsidRPr="000A2868" w:rsidTr="004728BF">
        <w:trPr>
          <w:trHeight w:val="701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1000 Социальная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132,4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66,2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66,2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0,8</w:t>
            </w:r>
          </w:p>
        </w:tc>
      </w:tr>
      <w:tr w:rsidR="000D7C4E" w:rsidRPr="000A2868" w:rsidTr="004728BF">
        <w:trPr>
          <w:trHeight w:val="714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0A2868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</w:t>
            </w:r>
            <w:r w:rsidR="000D7C4E"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2 543,9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2 543,9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0A2868" w:rsidRDefault="000A2868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sz w:val="24"/>
                <w:szCs w:val="24"/>
              </w:rPr>
              <w:t>15,9</w:t>
            </w:r>
          </w:p>
        </w:tc>
      </w:tr>
      <w:tr w:rsidR="000D7C4E" w:rsidRPr="000A2868" w:rsidTr="004728BF">
        <w:trPr>
          <w:jc w:val="center"/>
        </w:trPr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7C4E" w:rsidRPr="000A2868" w:rsidRDefault="000D7C4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</w:tr>
    </w:tbl>
    <w:p w:rsidR="00293E2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По разделам функциональной к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лассификации исполнение </w:t>
      </w:r>
      <w:proofErr w:type="gramStart"/>
      <w:r w:rsidR="000A2868">
        <w:rPr>
          <w:rFonts w:ascii="PT Astra Serif" w:hAnsi="PT Astra Serif" w:cs="PT Astra Serif"/>
          <w:sz w:val="28"/>
          <w:szCs w:val="28"/>
          <w:lang w:val="ru-RU"/>
        </w:rPr>
        <w:t>за  2023</w:t>
      </w:r>
      <w:proofErr w:type="gramEnd"/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сложилось следующим образом: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Расходы на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>« Общегосударственные</w:t>
      </w:r>
      <w:proofErr w:type="gramEnd"/>
      <w:r>
        <w:rPr>
          <w:rFonts w:ascii="PT Astra Serif" w:hAnsi="PT Astra Serif" w:cs="PT Astra Serif"/>
          <w:sz w:val="28"/>
          <w:szCs w:val="28"/>
          <w:lang w:val="ru-RU"/>
        </w:rPr>
        <w:t xml:space="preserve"> вопросы» составили в сумме 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>2 860,1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>. или от и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>сполненных расходов бюджета 17,9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Национальная оборона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» - 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288,1 </w:t>
      </w:r>
      <w:proofErr w:type="spellStart"/>
      <w:r w:rsidR="000A2868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0A2868">
        <w:rPr>
          <w:rFonts w:ascii="PT Astra Serif" w:hAnsi="PT Astra Serif" w:cs="PT Astra Serif"/>
          <w:sz w:val="28"/>
          <w:szCs w:val="28"/>
          <w:lang w:val="ru-RU"/>
        </w:rPr>
        <w:t>. или 1,8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Национальная экономика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>» - 9 224,1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>57,6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Жилищно</w:t>
      </w:r>
      <w:proofErr w:type="gramEnd"/>
      <w:r w:rsidRPr="0019588F">
        <w:rPr>
          <w:rFonts w:ascii="PT Astra Serif" w:hAnsi="PT Astra Serif" w:cs="PT Astra Serif"/>
          <w:sz w:val="28"/>
          <w:szCs w:val="28"/>
          <w:lang w:val="ru-RU"/>
        </w:rPr>
        <w:t>-коммунальное хозяйство</w:t>
      </w:r>
      <w:r w:rsidR="00293E2E">
        <w:rPr>
          <w:rFonts w:ascii="PT Astra Serif" w:hAnsi="PT Astra Serif" w:cs="PT Astra Serif"/>
          <w:sz w:val="28"/>
          <w:szCs w:val="28"/>
          <w:lang w:val="ru-RU"/>
        </w:rPr>
        <w:t xml:space="preserve">» - 954,1 </w:t>
      </w:r>
      <w:proofErr w:type="spellStart"/>
      <w:r w:rsidR="00293E2E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293E2E">
        <w:rPr>
          <w:rFonts w:ascii="PT Astra Serif" w:hAnsi="PT Astra Serif" w:cs="PT Astra Serif"/>
          <w:sz w:val="28"/>
          <w:szCs w:val="28"/>
          <w:lang w:val="ru-RU"/>
        </w:rPr>
        <w:t>. или 6,0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:rsidR="000D7C4E" w:rsidRDefault="00293E2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«Культура и кинематография»-1</w:t>
      </w:r>
      <w:r w:rsidR="000D7C4E">
        <w:rPr>
          <w:rFonts w:ascii="PT Astra Serif" w:hAnsi="PT Astra Serif" w:cs="PT Astra Serif"/>
          <w:sz w:val="28"/>
          <w:szCs w:val="28"/>
          <w:lang w:val="ru-RU"/>
        </w:rPr>
        <w:t>,0 тыс. руб.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Социальная</w:t>
      </w:r>
      <w:proofErr w:type="gramEnd"/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политика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» - 132,4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293E2E">
        <w:rPr>
          <w:rFonts w:ascii="PT Astra Serif" w:hAnsi="PT Astra Serif" w:cs="PT Astra Serif"/>
          <w:sz w:val="28"/>
          <w:szCs w:val="28"/>
          <w:lang w:val="ru-RU"/>
        </w:rPr>
        <w:t>0,8%;</w:t>
      </w:r>
    </w:p>
    <w:p w:rsidR="00293E2E" w:rsidRDefault="00293E2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>-« Физическая</w:t>
      </w:r>
      <w:proofErr w:type="gramEnd"/>
      <w:r>
        <w:rPr>
          <w:rFonts w:ascii="PT Astra Serif" w:hAnsi="PT Astra Serif" w:cs="PT Astra Serif"/>
          <w:sz w:val="28"/>
          <w:szCs w:val="28"/>
          <w:lang w:val="ru-RU"/>
        </w:rPr>
        <w:t xml:space="preserve"> культура и спорт»- 2 543,</w:t>
      </w:r>
      <w:r w:rsidR="00522B4F">
        <w:rPr>
          <w:rFonts w:ascii="PT Astra Serif" w:hAnsi="PT Astra Serif" w:cs="PT Astra Serif"/>
          <w:sz w:val="28"/>
          <w:szCs w:val="28"/>
          <w:lang w:val="ru-RU"/>
        </w:rPr>
        <w:t>9 тыс. руб. или на 15,9%.</w:t>
      </w:r>
    </w:p>
    <w:p w:rsidR="00293E2E" w:rsidRPr="00522B4F" w:rsidRDefault="00293E2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522B4F">
        <w:rPr>
          <w:rFonts w:ascii="PT Astra Serif" w:hAnsi="PT Astra Serif" w:cs="PT Astra Serif"/>
          <w:b/>
          <w:sz w:val="28"/>
          <w:szCs w:val="28"/>
          <w:lang w:val="ru-RU"/>
        </w:rPr>
        <w:t>Дебиторская и кредиторская задолженность.</w:t>
      </w:r>
    </w:p>
    <w:p w:rsidR="00293E2E" w:rsidRDefault="00293E2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По данным годовой отчетности по состоянию на 01.01.2024 год задолженность составила:</w:t>
      </w:r>
    </w:p>
    <w:p w:rsidR="00293E2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-Кредиторская задолженность:</w:t>
      </w:r>
    </w:p>
    <w:p w:rsidR="00293E2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01.01.2023- 2,9 тыс. руб.</w:t>
      </w:r>
    </w:p>
    <w:p w:rsidR="00293E2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01.01.2024 – 12,5 тыс. руб.</w:t>
      </w:r>
    </w:p>
    <w:p w:rsidR="00293E2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Дебиторская задолженность;</w:t>
      </w:r>
    </w:p>
    <w:p w:rsidR="00293E2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01.01.2023- 0,7 тыс. руб.</w:t>
      </w:r>
    </w:p>
    <w:p w:rsidR="000D7C4E" w:rsidRDefault="00293E2E" w:rsidP="00293E2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01.01.2024-0,5 тыс. руб.</w:t>
      </w:r>
    </w:p>
    <w:p w:rsidR="000D7C4E" w:rsidRPr="0019588F" w:rsidRDefault="000D7C4E" w:rsidP="00522B4F">
      <w:pPr>
        <w:pStyle w:val="Char"/>
        <w:spacing w:beforeAutospacing="0"/>
        <w:rPr>
          <w:sz w:val="28"/>
          <w:szCs w:val="28"/>
          <w:lang w:val="ru-RU"/>
        </w:rPr>
      </w:pPr>
      <w:r w:rsidRPr="0019588F">
        <w:rPr>
          <w:sz w:val="28"/>
          <w:szCs w:val="28"/>
          <w:lang w:val="ru-RU"/>
        </w:rPr>
        <w:t>Финансирование муниципальных программ</w:t>
      </w:r>
    </w:p>
    <w:p w:rsidR="000D7C4E" w:rsidRDefault="000D7C4E" w:rsidP="00522B4F">
      <w:pPr>
        <w:pStyle w:val="Char"/>
        <w:spacing w:beforeAutospacing="0"/>
        <w:rPr>
          <w:sz w:val="28"/>
          <w:szCs w:val="28"/>
          <w:lang w:val="ru-RU"/>
        </w:rPr>
      </w:pPr>
      <w:r w:rsidRPr="001958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финансирование было запланировано </w:t>
      </w:r>
      <w:r w:rsidR="00293E2E">
        <w:rPr>
          <w:sz w:val="28"/>
          <w:szCs w:val="28"/>
          <w:lang w:val="ru-RU"/>
        </w:rPr>
        <w:t>12 383,6</w:t>
      </w:r>
      <w:r>
        <w:rPr>
          <w:sz w:val="28"/>
          <w:szCs w:val="28"/>
          <w:lang w:val="ru-RU"/>
        </w:rPr>
        <w:t xml:space="preserve"> тыс. рублей, исполнено </w:t>
      </w:r>
      <w:r w:rsidR="00293E2E">
        <w:rPr>
          <w:sz w:val="28"/>
          <w:szCs w:val="28"/>
          <w:lang w:val="ru-RU"/>
        </w:rPr>
        <w:t>11 763,0 тыс. Рублей или 95</w:t>
      </w:r>
      <w:r>
        <w:rPr>
          <w:sz w:val="28"/>
          <w:szCs w:val="28"/>
          <w:lang w:val="ru-RU"/>
        </w:rPr>
        <w:t>,0%.</w:t>
      </w:r>
    </w:p>
    <w:p w:rsidR="000D7C4E" w:rsidRPr="00522B4F" w:rsidRDefault="000D7C4E" w:rsidP="00522B4F">
      <w:pPr>
        <w:pStyle w:val="Char"/>
        <w:spacing w:beforeAutospacing="0"/>
        <w:rPr>
          <w:sz w:val="28"/>
          <w:szCs w:val="28"/>
          <w:lang w:val="ru-RU"/>
        </w:rPr>
      </w:pPr>
      <w:r w:rsidRPr="00293E2E">
        <w:rPr>
          <w:sz w:val="28"/>
          <w:szCs w:val="28"/>
          <w:lang w:val="ru-RU"/>
        </w:rPr>
        <w:t>Исполнение муниципальных программ за 202</w:t>
      </w:r>
      <w:r w:rsidR="00293E2E">
        <w:rPr>
          <w:sz w:val="28"/>
          <w:szCs w:val="28"/>
          <w:lang w:val="ru-RU"/>
        </w:rPr>
        <w:t>3</w:t>
      </w:r>
      <w:r w:rsidRPr="00293E2E">
        <w:rPr>
          <w:sz w:val="28"/>
          <w:szCs w:val="28"/>
          <w:lang w:val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1475"/>
        <w:gridCol w:w="2849"/>
        <w:gridCol w:w="1619"/>
      </w:tblGrid>
      <w:tr w:rsidR="000D7C4E" w:rsidRPr="00522B4F" w:rsidTr="004728BF">
        <w:tc>
          <w:tcPr>
            <w:tcW w:w="3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(тыс. рублей)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0D7C4E" w:rsidRPr="00522B4F" w:rsidTr="004728BF"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522B4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522B4F"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Ремонт и содержание автомобильных дорог и сооружений на них в границах сельских </w:t>
            </w:r>
            <w:proofErr w:type="spellStart"/>
            <w:r w:rsidR="00522B4F"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поселений»</w:t>
            </w:r>
            <w:proofErr w:type="spellEnd"/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9 839,7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9 219,1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93,7</w:t>
            </w:r>
          </w:p>
        </w:tc>
      </w:tr>
      <w:tr w:rsidR="00522B4F" w:rsidRPr="00522B4F" w:rsidTr="004728BF"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4F" w:rsidRPr="00522B4F" w:rsidRDefault="00522B4F" w:rsidP="00522B4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4F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2 543,9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4F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2 543,9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B4F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D7C4E" w:rsidRPr="00522B4F" w:rsidTr="004728BF">
        <w:tc>
          <w:tcPr>
            <w:tcW w:w="3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0D7C4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_GoBack" w:colFirst="1" w:colLast="3"/>
            <w:r w:rsidRPr="00522B4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12 383,6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11 763,0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7C4E" w:rsidRPr="00522B4F" w:rsidRDefault="00522B4F" w:rsidP="00522B4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bookmarkEnd w:id="0"/>
    </w:tbl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</w:p>
    <w:p w:rsidR="000D7C4E" w:rsidRDefault="000D7C4E">
      <w:pPr>
        <w:jc w:val="both"/>
        <w:rPr>
          <w:rFonts w:ascii="PT Astra Serif" w:hAnsi="PT Astra Serif"/>
          <w:b/>
          <w:sz w:val="28"/>
          <w:szCs w:val="28"/>
        </w:rPr>
      </w:pPr>
    </w:p>
    <w:sectPr w:rsidR="000D7C4E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A2868"/>
    <w:rsid w:val="000C45FE"/>
    <w:rsid w:val="000D7C4E"/>
    <w:rsid w:val="000E763C"/>
    <w:rsid w:val="00100697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60F7E"/>
    <w:rsid w:val="002856A2"/>
    <w:rsid w:val="00286D80"/>
    <w:rsid w:val="00293E2E"/>
    <w:rsid w:val="00295636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22B4F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EA6B7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paragraph" w:customStyle="1" w:styleId="Char">
    <w:name w:val="Обычный (веб) Char"/>
    <w:hidden/>
    <w:qFormat/>
    <w:rsid w:val="000D7C4E"/>
    <w:pPr>
      <w:spacing w:beforeAutospacing="1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2023-10-26T08:42:00Z</cp:lastPrinted>
  <dcterms:created xsi:type="dcterms:W3CDTF">2024-05-13T13:42:00Z</dcterms:created>
  <dcterms:modified xsi:type="dcterms:W3CDTF">2024-05-13T13:42:00Z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